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6D2A" w:rsidRDefault="0057393A">
      <w:pPr>
        <w:tabs>
          <w:tab w:val="left" w:pos="1985"/>
        </w:tabs>
        <w:spacing w:after="0"/>
        <w:rPr>
          <w:rFonts w:ascii="Arial" w:eastAsia="Arial" w:hAnsi="Arial" w:cs="Arial"/>
          <w:b/>
          <w:sz w:val="24"/>
          <w:szCs w:val="24"/>
        </w:rPr>
      </w:pPr>
      <w:bookmarkStart w:id="0" w:name="_heading=h.gjdgxs" w:colFirst="0" w:colLast="0"/>
      <w:bookmarkEnd w:id="0"/>
      <w:r>
        <w:rPr>
          <w:rFonts w:ascii="Arial" w:eastAsia="Arial" w:hAnsi="Arial" w:cs="Arial"/>
          <w:b/>
          <w:sz w:val="24"/>
          <w:szCs w:val="24"/>
        </w:rPr>
        <w:t>3GPP TSG RAN WG2 meeting #114</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t xml:space="preserve">   R2-2105908 </w:t>
      </w:r>
    </w:p>
    <w:p w:rsidR="00056D2A" w:rsidRDefault="0057393A">
      <w:pPr>
        <w:tabs>
          <w:tab w:val="left" w:pos="1985"/>
        </w:tabs>
        <w:spacing w:after="0"/>
        <w:rPr>
          <w:rFonts w:ascii="Arial" w:eastAsia="Arial" w:hAnsi="Arial" w:cs="Arial"/>
          <w:b/>
          <w:sz w:val="24"/>
          <w:szCs w:val="24"/>
        </w:rPr>
      </w:pPr>
      <w:bookmarkStart w:id="1" w:name="_heading=h.30j0zll" w:colFirst="0" w:colLast="0"/>
      <w:bookmarkEnd w:id="1"/>
      <w:r>
        <w:rPr>
          <w:rFonts w:ascii="Arial" w:eastAsia="Arial" w:hAnsi="Arial" w:cs="Arial"/>
          <w:b/>
          <w:sz w:val="24"/>
          <w:szCs w:val="24"/>
        </w:rPr>
        <w:t>Electronic Meeting, May 19th - 27th, 2021</w:t>
      </w:r>
    </w:p>
    <w:p w:rsidR="00056D2A" w:rsidRDefault="0057393A">
      <w:pPr>
        <w:tabs>
          <w:tab w:val="left" w:pos="1985"/>
        </w:tabs>
        <w:spacing w:after="0"/>
        <w:rPr>
          <w:rFonts w:ascii="Arial" w:eastAsia="Arial" w:hAnsi="Arial" w:cs="Arial"/>
          <w:b/>
          <w:sz w:val="24"/>
          <w:szCs w:val="24"/>
        </w:rPr>
      </w:pPr>
      <w:bookmarkStart w:id="2" w:name="_heading=h.1fob9te" w:colFirst="0" w:colLast="0"/>
      <w:bookmarkEnd w:id="2"/>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t xml:space="preserve">                        </w:t>
      </w:r>
      <w:r>
        <w:rPr>
          <w:rFonts w:ascii="Arial" w:eastAsia="Arial" w:hAnsi="Arial" w:cs="Arial"/>
          <w:b/>
          <w:sz w:val="24"/>
          <w:szCs w:val="24"/>
        </w:rPr>
        <w:tab/>
      </w:r>
      <w:r>
        <w:rPr>
          <w:rFonts w:ascii="Arial" w:eastAsia="Arial" w:hAnsi="Arial" w:cs="Arial"/>
          <w:b/>
          <w:sz w:val="24"/>
          <w:szCs w:val="24"/>
        </w:rPr>
        <w:tab/>
      </w:r>
    </w:p>
    <w:p w:rsidR="00056D2A" w:rsidRDefault="00056D2A">
      <w:pPr>
        <w:tabs>
          <w:tab w:val="left" w:pos="1985"/>
        </w:tabs>
        <w:spacing w:after="0"/>
        <w:rPr>
          <w:rFonts w:ascii="Arial" w:eastAsia="Arial" w:hAnsi="Arial" w:cs="Arial"/>
          <w:b/>
          <w:sz w:val="24"/>
          <w:szCs w:val="24"/>
        </w:rPr>
      </w:pPr>
    </w:p>
    <w:p w:rsidR="00056D2A" w:rsidRDefault="0057393A">
      <w:pPr>
        <w:tabs>
          <w:tab w:val="left" w:pos="1985"/>
        </w:tabs>
        <w:spacing w:after="0"/>
        <w:rPr>
          <w:rFonts w:ascii="Arial" w:eastAsia="Arial" w:hAnsi="Arial" w:cs="Arial"/>
          <w:sz w:val="24"/>
          <w:szCs w:val="24"/>
        </w:rPr>
      </w:pPr>
      <w:r>
        <w:rPr>
          <w:rFonts w:ascii="Arial" w:eastAsia="Arial" w:hAnsi="Arial" w:cs="Arial"/>
          <w:b/>
          <w:sz w:val="24"/>
          <w:szCs w:val="24"/>
        </w:rPr>
        <w:t>Agenda Item:</w:t>
      </w:r>
      <w:r>
        <w:rPr>
          <w:rFonts w:ascii="Arial" w:eastAsia="Arial" w:hAnsi="Arial" w:cs="Arial"/>
          <w:sz w:val="24"/>
          <w:szCs w:val="24"/>
        </w:rPr>
        <w:tab/>
        <w:t>9.2.2</w:t>
      </w:r>
    </w:p>
    <w:p w:rsidR="00056D2A" w:rsidRDefault="0057393A">
      <w:pPr>
        <w:tabs>
          <w:tab w:val="left" w:pos="1985"/>
        </w:tabs>
        <w:spacing w:after="0"/>
        <w:rPr>
          <w:rFonts w:ascii="Arial" w:eastAsia="Arial" w:hAnsi="Arial" w:cs="Arial"/>
          <w:sz w:val="24"/>
          <w:szCs w:val="24"/>
          <w:highlight w:val="yellow"/>
        </w:rPr>
      </w:pPr>
      <w:r>
        <w:rPr>
          <w:rFonts w:ascii="Arial" w:eastAsia="Arial" w:hAnsi="Arial" w:cs="Arial"/>
          <w:b/>
          <w:sz w:val="24"/>
          <w:szCs w:val="24"/>
        </w:rPr>
        <w:t xml:space="preserve">Source: </w:t>
      </w:r>
      <w:r>
        <w:rPr>
          <w:rFonts w:ascii="Arial" w:eastAsia="Arial" w:hAnsi="Arial" w:cs="Arial"/>
          <w:b/>
          <w:sz w:val="24"/>
          <w:szCs w:val="24"/>
        </w:rPr>
        <w:tab/>
      </w:r>
      <w:r>
        <w:rPr>
          <w:rFonts w:ascii="Arial" w:eastAsia="Arial" w:hAnsi="Arial" w:cs="Arial"/>
          <w:sz w:val="24"/>
          <w:szCs w:val="24"/>
        </w:rPr>
        <w:t xml:space="preserve">Sateliot, </w:t>
      </w:r>
      <w:proofErr w:type="spellStart"/>
      <w:r>
        <w:rPr>
          <w:rFonts w:ascii="Arial" w:eastAsia="Arial" w:hAnsi="Arial" w:cs="Arial"/>
          <w:sz w:val="24"/>
          <w:szCs w:val="24"/>
        </w:rPr>
        <w:t>GateHouse</w:t>
      </w:r>
      <w:proofErr w:type="spellEnd"/>
      <w:r>
        <w:rPr>
          <w:rFonts w:ascii="Arial" w:eastAsia="Arial" w:hAnsi="Arial" w:cs="Arial"/>
          <w:sz w:val="24"/>
          <w:szCs w:val="24"/>
        </w:rPr>
        <w:t xml:space="preserve"> </w:t>
      </w:r>
      <w:proofErr w:type="spellStart"/>
      <w:r>
        <w:rPr>
          <w:rFonts w:ascii="Arial" w:eastAsia="Arial" w:hAnsi="Arial" w:cs="Arial"/>
          <w:sz w:val="24"/>
          <w:szCs w:val="24"/>
        </w:rPr>
        <w:t>Satcom</w:t>
      </w:r>
      <w:proofErr w:type="spellEnd"/>
      <w:r>
        <w:rPr>
          <w:rFonts w:ascii="Arial" w:eastAsia="Arial" w:hAnsi="Arial" w:cs="Arial"/>
          <w:sz w:val="24"/>
          <w:szCs w:val="24"/>
        </w:rPr>
        <w:t>, ESA</w:t>
      </w:r>
    </w:p>
    <w:p w:rsidR="00056D2A" w:rsidRDefault="0057393A">
      <w:pPr>
        <w:tabs>
          <w:tab w:val="left" w:pos="1985"/>
        </w:tabs>
        <w:spacing w:after="0"/>
        <w:rPr>
          <w:rFonts w:ascii="Arial" w:eastAsia="Arial" w:hAnsi="Arial" w:cs="Arial"/>
          <w:sz w:val="24"/>
          <w:szCs w:val="24"/>
        </w:rPr>
      </w:pPr>
      <w:r>
        <w:rPr>
          <w:rFonts w:ascii="Arial" w:eastAsia="Arial" w:hAnsi="Arial" w:cs="Arial"/>
          <w:b/>
          <w:sz w:val="24"/>
          <w:szCs w:val="24"/>
        </w:rPr>
        <w:t>Title:</w:t>
      </w:r>
      <w:r>
        <w:rPr>
          <w:rFonts w:ascii="Arial" w:eastAsia="Arial" w:hAnsi="Arial" w:cs="Arial"/>
          <w:sz w:val="24"/>
          <w:szCs w:val="24"/>
        </w:rPr>
        <w:t xml:space="preserve"> </w:t>
      </w:r>
      <w:r>
        <w:rPr>
          <w:rFonts w:ascii="Arial" w:eastAsia="Arial" w:hAnsi="Arial" w:cs="Arial"/>
          <w:sz w:val="24"/>
          <w:szCs w:val="24"/>
        </w:rPr>
        <w:tab/>
      </w:r>
      <w:r>
        <w:rPr>
          <w:rFonts w:ascii="Arial" w:eastAsia="Arial" w:hAnsi="Arial" w:cs="Arial"/>
          <w:sz w:val="24"/>
          <w:szCs w:val="24"/>
        </w:rPr>
        <w:t>On satellite pass predictions for UE wake-up management under discontinuous coverage</w:t>
      </w:r>
    </w:p>
    <w:p w:rsidR="00056D2A" w:rsidRDefault="0057393A">
      <w:pPr>
        <w:pBdr>
          <w:bottom w:val="single" w:sz="12" w:space="1" w:color="000000"/>
        </w:pBdr>
        <w:tabs>
          <w:tab w:val="left" w:pos="1985"/>
        </w:tabs>
        <w:spacing w:after="480"/>
        <w:rPr>
          <w:rFonts w:ascii="Arial" w:eastAsia="Arial" w:hAnsi="Arial" w:cs="Arial"/>
          <w:sz w:val="24"/>
          <w:szCs w:val="24"/>
        </w:rPr>
      </w:pPr>
      <w:r>
        <w:rPr>
          <w:rFonts w:ascii="Arial" w:eastAsia="Arial" w:hAnsi="Arial" w:cs="Arial"/>
          <w:b/>
          <w:sz w:val="24"/>
          <w:szCs w:val="24"/>
        </w:rPr>
        <w:t>Document for:</w:t>
      </w:r>
      <w:r>
        <w:rPr>
          <w:rFonts w:ascii="Arial" w:eastAsia="Arial" w:hAnsi="Arial" w:cs="Arial"/>
          <w:sz w:val="24"/>
          <w:szCs w:val="24"/>
        </w:rPr>
        <w:tab/>
        <w:t>Discussion</w:t>
      </w:r>
    </w:p>
    <w:p w:rsidR="00056D2A" w:rsidRDefault="0057393A">
      <w:pPr>
        <w:pStyle w:val="Heading1"/>
      </w:pPr>
      <w:r>
        <w:t>1. Introduction</w:t>
      </w:r>
    </w:p>
    <w:p w:rsidR="00056D2A" w:rsidRDefault="0057393A">
      <w:r>
        <w:t>As agreed in last RAN2 meeting [1], “</w:t>
      </w:r>
      <w:r>
        <w:rPr>
          <w:i/>
        </w:rPr>
        <w:t>for handling of coverage holes or discontinuous satellite coverage in a power efficient way R</w:t>
      </w:r>
      <w:r>
        <w:rPr>
          <w:i/>
        </w:rPr>
        <w:t>2 assumes that Satellite assistance information, e.g. ephemeris info, can be used.”</w:t>
      </w:r>
    </w:p>
    <w:p w:rsidR="00056D2A" w:rsidRDefault="0057393A">
      <w:r>
        <w:t>In particular, satellite ephemeris information broadcast by the satellite can be used by IoT devices to predict when the satellite will come again into coverage so that the</w:t>
      </w:r>
      <w:r>
        <w:t xml:space="preserve"> IoT device can transition to a deep sleep mode during the no-coverage period and wake up again at the time that the satellite is flying by. </w:t>
      </w:r>
    </w:p>
    <w:p w:rsidR="00056D2A" w:rsidRDefault="0057393A">
      <w:r>
        <w:t>Considering that the information broadcast by the satellite are instantaneous orbital parameters and that IoT devi</w:t>
      </w:r>
      <w:r>
        <w:t xml:space="preserve">ces can make use of simple/not-computing-intensive orbit propagators, </w:t>
      </w:r>
      <w:proofErr w:type="spellStart"/>
      <w:r>
        <w:t>MediaTek</w:t>
      </w:r>
      <w:proofErr w:type="spellEnd"/>
      <w:r>
        <w:t xml:space="preserve"> [2] provided some estimations on the accuracy of the predictions for a prediction window of one orbit period (1h 35 min 16 for a LEO-600 km configuration). More in detail:</w:t>
      </w:r>
    </w:p>
    <w:p w:rsidR="00056D2A" w:rsidRDefault="0057393A">
      <w:r>
        <w:t>“</w:t>
      </w:r>
      <w:r>
        <w:rPr>
          <w:i/>
        </w:rPr>
        <w:t>Pred</w:t>
      </w:r>
      <w:r>
        <w:rPr>
          <w:i/>
        </w:rPr>
        <w:t xml:space="preserve">iction over a LEO-600 km satellite orbit period of 1h 35 min 16 s ahead for UE pre-compensation is accurate within 31000 m or 104 us for delay error and within 423 m/s or 2.8 kHz for Doppler error. This assumes that the prediction </w:t>
      </w:r>
      <w:proofErr w:type="gramStart"/>
      <w:r>
        <w:rPr>
          <w:i/>
        </w:rPr>
        <w:t>use</w:t>
      </w:r>
      <w:proofErr w:type="gramEnd"/>
      <w:r>
        <w:rPr>
          <w:i/>
        </w:rPr>
        <w:t xml:space="preserve"> orbital parameters, w</w:t>
      </w:r>
      <w:r>
        <w:rPr>
          <w:i/>
        </w:rPr>
        <w:t xml:space="preserve">hich are computationally efficient way for long prediction times. This long-term prediction although not sufficiently accurate for UE pre-compensation is adequate for UE wake up from </w:t>
      </w:r>
      <w:proofErr w:type="spellStart"/>
      <w:r>
        <w:rPr>
          <w:i/>
        </w:rPr>
        <w:t>eDRX</w:t>
      </w:r>
      <w:proofErr w:type="spellEnd"/>
      <w:r>
        <w:rPr>
          <w:i/>
        </w:rPr>
        <w:t>. Assuming an error of 31000 m and a satellite velocity of around 7.5</w:t>
      </w:r>
      <w:r>
        <w:rPr>
          <w:i/>
        </w:rPr>
        <w:t xml:space="preserve"> km/s, the UE needs to wake up from </w:t>
      </w:r>
      <w:proofErr w:type="spellStart"/>
      <w:r>
        <w:rPr>
          <w:i/>
        </w:rPr>
        <w:t>eDRX</w:t>
      </w:r>
      <w:proofErr w:type="spellEnd"/>
      <w:r>
        <w:rPr>
          <w:i/>
        </w:rPr>
        <w:t xml:space="preserve"> about ~5s seconds early before next satellite flyby after one orbit period 1h 35min 16s.</w:t>
      </w:r>
      <w:r>
        <w:t>”</w:t>
      </w:r>
    </w:p>
    <w:p w:rsidR="00056D2A" w:rsidRDefault="0057393A">
      <w:r>
        <w:t xml:space="preserve">Complementing this estimation given by </w:t>
      </w:r>
      <w:proofErr w:type="spellStart"/>
      <w:r>
        <w:t>MediaTek</w:t>
      </w:r>
      <w:proofErr w:type="spellEnd"/>
      <w:r>
        <w:t xml:space="preserve"> in [2], this contribution provides estimates of the accuracy for longer perio</w:t>
      </w:r>
      <w:r>
        <w:t>ds of time. This is motivated because, after a IoT device at a fixed position has been in contact with a given satellite and acquired the instantaneous orbital parameters from it, the time until that particular satellite is visible again could be much long</w:t>
      </w:r>
      <w:r>
        <w:t xml:space="preserve">er than a single orbit period due to Earth rotation and accurate prediction becomes more challenging (in practice, for sun-synchronous orbits, it is quite common not to see the same satellite after a period of ~12 hours or more). </w:t>
      </w:r>
    </w:p>
    <w:p w:rsidR="00056D2A" w:rsidRDefault="0057393A">
      <w:pPr>
        <w:pStyle w:val="Heading1"/>
      </w:pPr>
      <w:bookmarkStart w:id="3" w:name="_heading=h.b7o2235vbhbz" w:colFirst="0" w:colLast="0"/>
      <w:bookmarkEnd w:id="3"/>
      <w:r>
        <w:t>2. Satellite pass predict</w:t>
      </w:r>
      <w:r>
        <w:t>ions estimations</w:t>
      </w:r>
    </w:p>
    <w:p w:rsidR="00056D2A" w:rsidRDefault="0057393A">
      <w:r>
        <w:t xml:space="preserve">Assumptions: </w:t>
      </w:r>
    </w:p>
    <w:p w:rsidR="00056D2A" w:rsidRDefault="0057393A">
      <w:pPr>
        <w:numPr>
          <w:ilvl w:val="0"/>
          <w:numId w:val="1"/>
        </w:numPr>
        <w:pBdr>
          <w:top w:val="nil"/>
          <w:left w:val="nil"/>
          <w:bottom w:val="nil"/>
          <w:right w:val="nil"/>
          <w:between w:val="nil"/>
        </w:pBdr>
        <w:spacing w:after="0"/>
      </w:pPr>
      <w:r>
        <w:rPr>
          <w:color w:val="000000"/>
        </w:rPr>
        <w:t xml:space="preserve">Ephemeris format broadcast by the satellite is based on orbital elements. Orbital elements are instantaneous ones to give the same accuracy as the position/velocity for UL pre-compensation, and not the average/mean ones. </w:t>
      </w:r>
    </w:p>
    <w:p w:rsidR="00056D2A" w:rsidRDefault="0057393A">
      <w:pPr>
        <w:numPr>
          <w:ilvl w:val="0"/>
          <w:numId w:val="1"/>
        </w:numPr>
        <w:pBdr>
          <w:top w:val="nil"/>
          <w:left w:val="nil"/>
          <w:bottom w:val="nil"/>
          <w:right w:val="nil"/>
          <w:between w:val="nil"/>
        </w:pBdr>
        <w:spacing w:before="0" w:after="0"/>
      </w:pPr>
      <w:r>
        <w:rPr>
          <w:color w:val="000000"/>
        </w:rPr>
        <w:t xml:space="preserve">The IoT device use a simple orbit propagator (e.g. Two-body propagator [3], or </w:t>
      </w:r>
      <w:proofErr w:type="spellStart"/>
      <w:r>
        <w:rPr>
          <w:color w:val="000000"/>
        </w:rPr>
        <w:t>Keplerian</w:t>
      </w:r>
      <w:proofErr w:type="spellEnd"/>
      <w:r>
        <w:rPr>
          <w:color w:val="000000"/>
        </w:rPr>
        <w:t xml:space="preserve"> motion, which considers only the force of gravity from the Earth, which is modeled as a point mass) to propagate the acquired orbital elements and so predict the time </w:t>
      </w:r>
      <w:r>
        <w:rPr>
          <w:color w:val="000000"/>
        </w:rPr>
        <w:t xml:space="preserve">that a next satellite pass (not necessarily the first pass) will happen.  </w:t>
      </w:r>
    </w:p>
    <w:p w:rsidR="00056D2A" w:rsidRDefault="0057393A">
      <w:pPr>
        <w:numPr>
          <w:ilvl w:val="0"/>
          <w:numId w:val="1"/>
        </w:numPr>
        <w:pBdr>
          <w:top w:val="nil"/>
          <w:left w:val="nil"/>
          <w:bottom w:val="nil"/>
          <w:right w:val="nil"/>
          <w:between w:val="nil"/>
        </w:pBdr>
        <w:spacing w:before="0" w:after="0"/>
      </w:pPr>
      <w:r>
        <w:rPr>
          <w:color w:val="000000"/>
        </w:rPr>
        <w:t>T0 represents the Epoch for which valid information orbital parameters are assumed to be available at the IoT device. Orbital parameters are computed from the NORAD TLE created at T</w:t>
      </w:r>
      <w:r>
        <w:rPr>
          <w:color w:val="000000"/>
        </w:rPr>
        <w:t xml:space="preserve">0. </w:t>
      </w:r>
    </w:p>
    <w:p w:rsidR="00056D2A" w:rsidRDefault="0057393A">
      <w:pPr>
        <w:numPr>
          <w:ilvl w:val="0"/>
          <w:numId w:val="1"/>
        </w:numPr>
        <w:pBdr>
          <w:top w:val="nil"/>
          <w:left w:val="nil"/>
          <w:bottom w:val="nil"/>
          <w:right w:val="nil"/>
          <w:between w:val="nil"/>
        </w:pBdr>
        <w:spacing w:before="0"/>
      </w:pPr>
      <w:r>
        <w:rPr>
          <w:color w:val="000000"/>
        </w:rPr>
        <w:lastRenderedPageBreak/>
        <w:t xml:space="preserve">To determine the start of a satellite pass, applied constraints have been 30º minimum elevation and minimum duration of 30s. </w:t>
      </w:r>
    </w:p>
    <w:p w:rsidR="00056D2A" w:rsidRDefault="0057393A">
      <w:r>
        <w:t>On this basis, next shows the error of the prediction made by the IoT device compared to the reference case that satellite pas</w:t>
      </w:r>
      <w:r>
        <w:t>s predictions would be done using TLE and much accurate orbit propagators (SGP4). In particular, a SSO satellite at ~500km satellite is considered, along its corresponding NORAD TLEs computed at 1</w:t>
      </w:r>
      <w:r>
        <w:rPr>
          <w:vertAlign w:val="superscript"/>
        </w:rPr>
        <w:t>st</w:t>
      </w:r>
      <w:r>
        <w:t xml:space="preserve"> of May 2021 10:47:07 (Table 1) and 1</w:t>
      </w:r>
      <w:r>
        <w:rPr>
          <w:vertAlign w:val="superscript"/>
        </w:rPr>
        <w:t>st</w:t>
      </w:r>
      <w:r>
        <w:t xml:space="preserve"> of May 2021 18:39:</w:t>
      </w:r>
      <w:r>
        <w:t xml:space="preserve">13 (Table 2). For the sake of comparison, prediction windows and errors are plotted in Figure 1. </w:t>
      </w:r>
    </w:p>
    <w:p w:rsidR="00056D2A" w:rsidRDefault="0057393A">
      <w:pPr>
        <w:spacing w:before="240" w:after="240"/>
        <w:jc w:val="center"/>
      </w:pPr>
      <w:r>
        <w:rPr>
          <w:b/>
        </w:rPr>
        <w:t xml:space="preserve">Table 1 – </w:t>
      </w:r>
      <w:r>
        <w:t>Prediction windows and prediction errors for next 5 consecutive passes assuming orbital parameters known at T0: 1</w:t>
      </w:r>
      <w:r>
        <w:rPr>
          <w:vertAlign w:val="superscript"/>
        </w:rPr>
        <w:t>st</w:t>
      </w:r>
      <w:r>
        <w:t xml:space="preserve"> of May 2021 10:47:07. </w:t>
      </w:r>
    </w:p>
    <w:p w:rsidR="00056D2A" w:rsidRDefault="0057393A">
      <w:r>
        <w:rPr>
          <w:noProof/>
        </w:rPr>
        <w:drawing>
          <wp:inline distT="0" distB="0" distL="0" distR="0">
            <wp:extent cx="6120130" cy="1422392"/>
            <wp:effectExtent l="0" t="0" r="0" b="0"/>
            <wp:docPr id="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6"/>
                    <a:srcRect/>
                    <a:stretch>
                      <a:fillRect/>
                    </a:stretch>
                  </pic:blipFill>
                  <pic:spPr>
                    <a:xfrm>
                      <a:off x="0" y="0"/>
                      <a:ext cx="6120130" cy="1422392"/>
                    </a:xfrm>
                    <a:prstGeom prst="rect">
                      <a:avLst/>
                    </a:prstGeom>
                    <a:ln/>
                  </pic:spPr>
                </pic:pic>
              </a:graphicData>
            </a:graphic>
          </wp:inline>
        </w:drawing>
      </w:r>
    </w:p>
    <w:p w:rsidR="00056D2A" w:rsidRDefault="0057393A">
      <w:pPr>
        <w:spacing w:before="240" w:after="240"/>
        <w:jc w:val="center"/>
      </w:pPr>
      <w:r>
        <w:rPr>
          <w:b/>
        </w:rPr>
        <w:t xml:space="preserve">Table 2 – </w:t>
      </w:r>
      <w:r>
        <w:t>Prediction windows and prediction errors for next 5 consecutive passes assuming orbital parameters known at T0: 1</w:t>
      </w:r>
      <w:r>
        <w:rPr>
          <w:vertAlign w:val="superscript"/>
        </w:rPr>
        <w:t>st</w:t>
      </w:r>
      <w:r>
        <w:t xml:space="preserve"> of May 2021 18:39:13. </w:t>
      </w:r>
    </w:p>
    <w:p w:rsidR="00056D2A" w:rsidRDefault="0057393A">
      <w:r>
        <w:rPr>
          <w:noProof/>
        </w:rPr>
        <w:drawing>
          <wp:inline distT="0" distB="0" distL="0" distR="0">
            <wp:extent cx="6120130" cy="1499278"/>
            <wp:effectExtent l="0" t="0" r="0" b="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6120130" cy="1499278"/>
                    </a:xfrm>
                    <a:prstGeom prst="rect">
                      <a:avLst/>
                    </a:prstGeom>
                    <a:ln/>
                  </pic:spPr>
                </pic:pic>
              </a:graphicData>
            </a:graphic>
          </wp:inline>
        </w:drawing>
      </w:r>
    </w:p>
    <w:p w:rsidR="00056D2A" w:rsidRDefault="00056D2A">
      <w:pPr>
        <w:jc w:val="center"/>
        <w:rPr>
          <w:b/>
        </w:rPr>
      </w:pPr>
    </w:p>
    <w:p w:rsidR="00056D2A" w:rsidRDefault="0057393A">
      <w:pPr>
        <w:jc w:val="center"/>
      </w:pPr>
      <w:r>
        <w:rPr>
          <w:b/>
        </w:rPr>
        <w:t xml:space="preserve">Figure 1 – </w:t>
      </w:r>
      <w:r>
        <w:t>Prediction errors vs. prediction windows.</w:t>
      </w:r>
    </w:p>
    <w:p w:rsidR="00056D2A" w:rsidRDefault="0057393A">
      <w:pPr>
        <w:jc w:val="center"/>
      </w:pPr>
      <w:r w:rsidRPr="0057393A">
        <w:drawing>
          <wp:inline distT="0" distB="0" distL="0" distR="0">
            <wp:extent cx="4362450" cy="26193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62450" cy="2619375"/>
                    </a:xfrm>
                    <a:prstGeom prst="rect">
                      <a:avLst/>
                    </a:prstGeom>
                    <a:noFill/>
                    <a:ln>
                      <a:noFill/>
                    </a:ln>
                  </pic:spPr>
                </pic:pic>
              </a:graphicData>
            </a:graphic>
          </wp:inline>
        </w:drawing>
      </w:r>
      <w:bookmarkStart w:id="4" w:name="_GoBack"/>
      <w:bookmarkEnd w:id="4"/>
    </w:p>
    <w:p w:rsidR="00056D2A" w:rsidRDefault="00056D2A"/>
    <w:p w:rsidR="00056D2A" w:rsidRDefault="0057393A">
      <w:r>
        <w:rPr>
          <w:b/>
        </w:rPr>
        <w:lastRenderedPageBreak/>
        <w:t>Observation 1:</w:t>
      </w:r>
      <w:r>
        <w:t xml:space="preserve"> When estimating at the IoT device</w:t>
      </w:r>
      <w:r>
        <w:t xml:space="preserve"> the start of next satellite passes using simple orbit propagators and instantaneous orbital elements broadcast by the satellite, prediction errors could be in the order of ~20 seconds for prediction windows of ~12 hours, up to ~230 seconds for prediction </w:t>
      </w:r>
      <w:r>
        <w:t>windows of ~84 hours.</w:t>
      </w:r>
    </w:p>
    <w:p w:rsidR="00056D2A" w:rsidRDefault="0057393A">
      <w:bookmarkStart w:id="5" w:name="_heading=h.2et92p0" w:colFirst="0" w:colLast="0"/>
      <w:bookmarkEnd w:id="5"/>
      <w:r>
        <w:rPr>
          <w:b/>
        </w:rPr>
        <w:t xml:space="preserve">Observation 2: </w:t>
      </w:r>
      <w:r>
        <w:t>Prediction errors have to be compared to almost two minutes of visibility time at 500 km altitude. At higher altitudes the prediction error would remain comparable but with longer visibility times.</w:t>
      </w:r>
    </w:p>
    <w:p w:rsidR="00056D2A" w:rsidRDefault="0057393A">
      <w:pPr>
        <w:pStyle w:val="Heading1"/>
      </w:pPr>
      <w:r>
        <w:t>3. Conclusions</w:t>
      </w:r>
    </w:p>
    <w:p w:rsidR="00056D2A" w:rsidRDefault="0057393A">
      <w:bookmarkStart w:id="6" w:name="_heading=h.4d34og8" w:colFirst="0" w:colLast="0"/>
      <w:bookmarkEnd w:id="6"/>
      <w:r>
        <w:t>In this contribution, we have provided some results showing the accuracy of satellite pass predictions for UE wake-up management under discontinuous coverage and have the following observations:</w:t>
      </w:r>
    </w:p>
    <w:p w:rsidR="00056D2A" w:rsidRDefault="0057393A">
      <w:r>
        <w:rPr>
          <w:b/>
        </w:rPr>
        <w:t>Observation 1:</w:t>
      </w:r>
      <w:r>
        <w:t xml:space="preserve"> When estimating at the IoT device the start of</w:t>
      </w:r>
      <w:r>
        <w:t xml:space="preserve"> next satellite passes using simple orbit propagators and instantaneous orbital elements broadcast by the satellite, prediction errors could be in the order of ~20 seconds for prediction windows of ~12 hours, up to ~230 seconds for prediction windows of ~8</w:t>
      </w:r>
      <w:r>
        <w:t>4 hours.</w:t>
      </w:r>
    </w:p>
    <w:p w:rsidR="00056D2A" w:rsidRDefault="0057393A">
      <w:r>
        <w:rPr>
          <w:b/>
        </w:rPr>
        <w:t xml:space="preserve">Observation 2: </w:t>
      </w:r>
      <w:r>
        <w:t>Prediction errors have to be compared to</w:t>
      </w:r>
      <w:r>
        <w:rPr>
          <w:b/>
        </w:rPr>
        <w:t xml:space="preserve"> </w:t>
      </w:r>
      <w:r>
        <w:t>almost two minutes of visibility time at 500 km altitude. At higher altitudes the prediction error would remain comparable but with longer visibility times.</w:t>
      </w:r>
    </w:p>
    <w:p w:rsidR="00056D2A" w:rsidRDefault="00056D2A"/>
    <w:p w:rsidR="00056D2A" w:rsidRDefault="0057393A">
      <w:pPr>
        <w:pStyle w:val="Heading1"/>
      </w:pPr>
      <w:bookmarkStart w:id="7" w:name="_heading=h.3znysh7" w:colFirst="0" w:colLast="0"/>
      <w:bookmarkEnd w:id="7"/>
      <w:r>
        <w:t>4 References</w:t>
      </w:r>
    </w:p>
    <w:p w:rsidR="00056D2A" w:rsidRDefault="0057393A">
      <w:pPr>
        <w:numPr>
          <w:ilvl w:val="0"/>
          <w:numId w:val="2"/>
        </w:numPr>
        <w:pBdr>
          <w:top w:val="nil"/>
          <w:left w:val="nil"/>
          <w:bottom w:val="nil"/>
          <w:right w:val="nil"/>
          <w:between w:val="nil"/>
        </w:pBdr>
        <w:spacing w:after="0"/>
      </w:pPr>
      <w:bookmarkStart w:id="8" w:name="_heading=h.tyjcwt" w:colFirst="0" w:colLast="0"/>
      <w:bookmarkEnd w:id="8"/>
      <w:r>
        <w:rPr>
          <w:color w:val="000000"/>
        </w:rPr>
        <w:t>Report of 3GPP TSG R</w:t>
      </w:r>
      <w:r>
        <w:rPr>
          <w:color w:val="000000"/>
        </w:rPr>
        <w:t xml:space="preserve">AN2#112-e. </w:t>
      </w:r>
      <w:hyperlink r:id="rId9">
        <w:r>
          <w:rPr>
            <w:color w:val="0000FF"/>
            <w:u w:val="single"/>
          </w:rPr>
          <w:t>https://www.3gpp.org/ftp/TSG_RAN/WG2_RL2/TSGR2_113bis-e/Report/Draft_R2-113bis-e_Meeting_Report_v1.docx</w:t>
        </w:r>
      </w:hyperlink>
    </w:p>
    <w:p w:rsidR="00056D2A" w:rsidRDefault="0057393A">
      <w:pPr>
        <w:numPr>
          <w:ilvl w:val="0"/>
          <w:numId w:val="2"/>
        </w:numPr>
        <w:pBdr>
          <w:top w:val="nil"/>
          <w:left w:val="nil"/>
          <w:bottom w:val="nil"/>
          <w:right w:val="nil"/>
          <w:between w:val="nil"/>
        </w:pBdr>
        <w:spacing w:before="0" w:after="0"/>
      </w:pPr>
      <w:bookmarkStart w:id="9" w:name="_heading=h.3dy6vkm" w:colFirst="0" w:colLast="0"/>
      <w:bookmarkEnd w:id="9"/>
      <w:r>
        <w:rPr>
          <w:color w:val="000000"/>
        </w:rPr>
        <w:t>R1-2102752, “UE Ti</w:t>
      </w:r>
      <w:r>
        <w:rPr>
          <w:color w:val="000000"/>
        </w:rPr>
        <w:t xml:space="preserve">me and frequency </w:t>
      </w:r>
      <w:proofErr w:type="spellStart"/>
      <w:r>
        <w:rPr>
          <w:color w:val="000000"/>
        </w:rPr>
        <w:t>Synchronisation</w:t>
      </w:r>
      <w:proofErr w:type="spellEnd"/>
      <w:r>
        <w:rPr>
          <w:color w:val="000000"/>
        </w:rPr>
        <w:t xml:space="preserve"> for NR-NTN”, </w:t>
      </w:r>
      <w:proofErr w:type="spellStart"/>
      <w:r>
        <w:rPr>
          <w:color w:val="000000"/>
        </w:rPr>
        <w:t>MediaTek</w:t>
      </w:r>
      <w:proofErr w:type="spellEnd"/>
      <w:r>
        <w:rPr>
          <w:color w:val="000000"/>
        </w:rPr>
        <w:t>, 3GPP TSG RAN WG1 Meeting #104-bis-e April 12</w:t>
      </w:r>
      <w:proofErr w:type="gramStart"/>
      <w:r>
        <w:rPr>
          <w:color w:val="000000"/>
        </w:rPr>
        <w:t>th  –</w:t>
      </w:r>
      <w:proofErr w:type="gramEnd"/>
      <w:r>
        <w:rPr>
          <w:color w:val="000000"/>
        </w:rPr>
        <w:t xml:space="preserve"> April 20th, 2021   </w:t>
      </w:r>
    </w:p>
    <w:p w:rsidR="00056D2A" w:rsidRDefault="0057393A">
      <w:pPr>
        <w:numPr>
          <w:ilvl w:val="0"/>
          <w:numId w:val="2"/>
        </w:numPr>
        <w:pBdr>
          <w:top w:val="nil"/>
          <w:left w:val="nil"/>
          <w:bottom w:val="nil"/>
          <w:right w:val="nil"/>
          <w:between w:val="nil"/>
        </w:pBdr>
        <w:spacing w:before="0"/>
      </w:pPr>
      <w:bookmarkStart w:id="10" w:name="_heading=h.1t3h5sf" w:colFirst="0" w:colLast="0"/>
      <w:bookmarkEnd w:id="10"/>
      <w:r>
        <w:rPr>
          <w:color w:val="000000"/>
        </w:rPr>
        <w:t>STK documentation, “Orbit propagators for satellites”. https://help.agi.com/stk/11.0.1/Content/stk/vehSat_orbitProp_choose.htm</w:t>
      </w:r>
    </w:p>
    <w:p w:rsidR="00056D2A" w:rsidRDefault="00056D2A"/>
    <w:sectPr w:rsidR="00056D2A">
      <w:pgSz w:w="11906" w:h="16838"/>
      <w:pgMar w:top="1418" w:right="1134" w:bottom="1134" w:left="1134" w:header="851" w:footer="992"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CF1EF2"/>
    <w:multiLevelType w:val="multilevel"/>
    <w:tmpl w:val="E240747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75B43ACC"/>
    <w:multiLevelType w:val="multilevel"/>
    <w:tmpl w:val="D50237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D2A"/>
    <w:rsid w:val="00056D2A"/>
    <w:rsid w:val="005739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ABA373-E717-4A9C-B0C9-06CA0B4C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pPr>
        <w:tabs>
          <w:tab w:val="left" w:pos="0"/>
        </w:tabs>
        <w:spacing w:before="60" w:after="1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spacing w:before="360" w:after="240"/>
      <w:ind w:left="425" w:hanging="425"/>
      <w:outlineLvl w:val="0"/>
    </w:pPr>
    <w:rPr>
      <w:rFonts w:ascii="Arial" w:eastAsia="Arial" w:hAnsi="Arial" w:cs="Arial"/>
      <w:b/>
      <w:sz w:val="28"/>
      <w:szCs w:val="28"/>
    </w:rPr>
  </w:style>
  <w:style w:type="paragraph" w:styleId="Heading2">
    <w:name w:val="heading 2"/>
    <w:basedOn w:val="Normal"/>
    <w:next w:val="Normal"/>
    <w:uiPriority w:val="9"/>
    <w:semiHidden/>
    <w:unhideWhenUsed/>
    <w:qFormat/>
    <w:pPr>
      <w:keepNext/>
      <w:jc w:val="left"/>
      <w:outlineLvl w:val="1"/>
    </w:pPr>
    <w:rPr>
      <w:rFonts w:ascii="Arial" w:eastAsia="Arial" w:hAnsi="Arial" w:cs="Arial"/>
      <w:b/>
      <w:sz w:val="24"/>
      <w:szCs w:val="24"/>
    </w:rPr>
  </w:style>
  <w:style w:type="paragraph" w:styleId="Heading3">
    <w:name w:val="heading 3"/>
    <w:basedOn w:val="Normal"/>
    <w:next w:val="Normal"/>
    <w:uiPriority w:val="9"/>
    <w:semiHidden/>
    <w:unhideWhenUsed/>
    <w:qFormat/>
    <w:pPr>
      <w:keepNext/>
      <w:outlineLvl w:val="2"/>
    </w:pPr>
    <w:rPr>
      <w:rFonts w:ascii="Arial" w:eastAsia="Arial" w:hAnsi="Arial" w:cs="Arial"/>
      <w:b/>
    </w:rPr>
  </w:style>
  <w:style w:type="paragraph" w:styleId="Heading4">
    <w:name w:val="heading 4"/>
    <w:basedOn w:val="Normal"/>
    <w:next w:val="Normal"/>
    <w:uiPriority w:val="9"/>
    <w:semiHidden/>
    <w:unhideWhenUsed/>
    <w:qFormat/>
    <w:pPr>
      <w:keepNext/>
      <w:ind w:left="400" w:hanging="200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table" w:customStyle="1" w:styleId="TableNormal20">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TextocomentarioCar">
    <w:name w:val="Texto comentario Car"/>
    <w:basedOn w:val="DefaultParagraphFont"/>
    <w:uiPriority w:val="99"/>
    <w:semiHidden/>
    <w:rPr>
      <w:sz w:val="20"/>
      <w:szCs w:val="20"/>
    </w:rPr>
  </w:style>
  <w:style w:type="character" w:styleId="CommentReference">
    <w:name w:val="annotation reference"/>
    <w:uiPriority w:val="99"/>
    <w:semiHidden/>
    <w:unhideWhenUsed/>
    <w:rPr>
      <w:sz w:val="16"/>
      <w:szCs w:val="16"/>
    </w:rPr>
  </w:style>
  <w:style w:type="paragraph" w:styleId="BalloonText">
    <w:name w:val="Balloon Text"/>
    <w:basedOn w:val="Normal"/>
    <w:link w:val="BalloonTextChar"/>
    <w:uiPriority w:val="99"/>
    <w:semiHidden/>
    <w:unhideWhenUsed/>
    <w:rsid w:val="00EB737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7379"/>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AsuntodelcomentarioCar">
    <w:name w:val="Asunto del comentario Car"/>
    <w:basedOn w:val="TextocomentarioCar"/>
    <w:uiPriority w:val="99"/>
    <w:semiHidden/>
    <w:rsid w:val="00EB7379"/>
    <w:rPr>
      <w:b/>
      <w:bCs/>
      <w:sz w:val="20"/>
      <w:szCs w:val="20"/>
    </w:rPr>
  </w:style>
  <w:style w:type="paragraph" w:styleId="ListParagraph">
    <w:name w:val="List Paragraph"/>
    <w:basedOn w:val="Normal"/>
    <w:uiPriority w:val="34"/>
    <w:qFormat/>
    <w:rsid w:val="00EC3B76"/>
    <w:pPr>
      <w:ind w:left="720"/>
      <w:contextualSpacing/>
    </w:pPr>
  </w:style>
  <w:style w:type="table" w:customStyle="1" w:styleId="a1">
    <w:basedOn w:val="TableNormal3"/>
    <w:tblPr>
      <w:tblStyleRowBandSize w:val="1"/>
      <w:tblStyleColBandSize w:val="1"/>
      <w:tblCellMar>
        <w:top w:w="100" w:type="dxa"/>
        <w:left w:w="100" w:type="dxa"/>
        <w:bottom w:w="100" w:type="dxa"/>
        <w:right w:w="100" w:type="dxa"/>
      </w:tblCellMar>
    </w:tblPr>
  </w:style>
  <w:style w:type="table" w:customStyle="1" w:styleId="a2">
    <w:basedOn w:val="TableNormal3"/>
    <w:tblPr>
      <w:tblStyleRowBandSize w:val="1"/>
      <w:tblStyleColBandSize w:val="1"/>
      <w:tblCellMar>
        <w:top w:w="100" w:type="dxa"/>
        <w:left w:w="100" w:type="dxa"/>
        <w:bottom w:w="100" w:type="dxa"/>
        <w:right w:w="100" w:type="dxa"/>
      </w:tblCellMar>
    </w:tblPr>
  </w:style>
  <w:style w:type="table" w:customStyle="1" w:styleId="a3">
    <w:basedOn w:val="TableNormal20"/>
    <w:tblPr>
      <w:tblStyleRowBandSize w:val="1"/>
      <w:tblStyleColBandSize w:val="1"/>
      <w:tblCellMar>
        <w:top w:w="100" w:type="dxa"/>
        <w:left w:w="100" w:type="dxa"/>
        <w:bottom w:w="100" w:type="dxa"/>
        <w:right w:w="100" w:type="dxa"/>
      </w:tblCellMar>
    </w:tblPr>
  </w:style>
  <w:style w:type="table" w:customStyle="1" w:styleId="a4">
    <w:basedOn w:val="TableNormal20"/>
    <w:tblPr>
      <w:tblStyleRowBandSize w:val="1"/>
      <w:tblStyleColBandSize w:val="1"/>
      <w:tblCellMar>
        <w:top w:w="100" w:type="dxa"/>
        <w:left w:w="100" w:type="dxa"/>
        <w:bottom w:w="100" w:type="dxa"/>
        <w:right w:w="100" w:type="dxa"/>
      </w:tblCellMar>
    </w:tbl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CommentTextChar">
    <w:name w:val="Comment Text Char"/>
    <w:link w:val="CommentText"/>
    <w:uiPriority w:val="99"/>
    <w:semiHidden/>
    <w:rPr>
      <w:sz w:val="20"/>
      <w:szCs w:val="20"/>
    </w:rPr>
  </w:style>
  <w:style w:type="character" w:styleId="Hyperlink">
    <w:name w:val="Hyperlink"/>
    <w:basedOn w:val="DefaultParagraphFont"/>
    <w:uiPriority w:val="99"/>
    <w:unhideWhenUsed/>
    <w:rsid w:val="00545F11"/>
    <w:rPr>
      <w:color w:val="0000FF" w:themeColor="hyperlink"/>
      <w:u w:val="single"/>
    </w:rPr>
  </w:style>
  <w:style w:type="character" w:customStyle="1" w:styleId="UnresolvedMention">
    <w:name w:val="Unresolved Mention"/>
    <w:basedOn w:val="DefaultParagraphFont"/>
    <w:uiPriority w:val="99"/>
    <w:semiHidden/>
    <w:unhideWhenUsed/>
    <w:rsid w:val="00545F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2_RL2/TSGR2_113bis-e/Report/Draft_R2-113bis-e_Meeting_Report_v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HZMY/4jpG76s5F+1/kUWiRxvRw==">AMUW2mUc39AjR1Ob/BfZOAUqf4AbJY4jxdaPu9OKW+UGSeT9Cj94xTSebYTuto1RNHDaDqYbW184KOQIwlQKcQYMLqb6PwqQjVtsAcOvl/Zwg9jMa2gyjwgMeMZRFvZPUwSpUbNjUnz4J0P/fH6kws6g7o+fzZ5vSvdN374sUJva8Lr6ayyBf3MLoF0FP9qUjw6J/dLTDbOkwZChngAQvW1NyAzF3R8wwXSHFttIQlYswQPAqzaBqdGmnqG53HVv1+2cGsilbPef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904</Words>
  <Characters>5157</Characters>
  <Application>Microsoft Office Word</Application>
  <DocSecurity>0</DocSecurity>
  <Lines>42</Lines>
  <Paragraphs>12</Paragraphs>
  <ScaleCrop>false</ScaleCrop>
  <Company/>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Ramon Ferrús</cp:lastModifiedBy>
  <cp:revision>2</cp:revision>
  <dcterms:created xsi:type="dcterms:W3CDTF">2021-04-29T13:07:00Z</dcterms:created>
  <dcterms:modified xsi:type="dcterms:W3CDTF">2021-05-10T19:14:00Z</dcterms:modified>
</cp:coreProperties>
</file>